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2" w:rsidRPr="007A16FA" w:rsidRDefault="009B5002" w:rsidP="00740F03">
      <w:pPr>
        <w:jc w:val="center"/>
        <w:rPr>
          <w:b/>
          <w:sz w:val="27"/>
        </w:rPr>
      </w:pPr>
      <w:bookmarkStart w:id="0" w:name="_GoBack"/>
      <w:bookmarkEnd w:id="0"/>
      <w:r w:rsidRPr="007A16FA">
        <w:rPr>
          <w:b/>
          <w:sz w:val="27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9B5002" w:rsidRPr="007A16FA" w:rsidRDefault="009B5002" w:rsidP="00740F03">
      <w:pPr>
        <w:jc w:val="center"/>
        <w:rPr>
          <w:b/>
          <w:sz w:val="27"/>
        </w:rPr>
      </w:pPr>
    </w:p>
    <w:p w:rsidR="009B5002" w:rsidRPr="007A16FA" w:rsidRDefault="009B5002" w:rsidP="00740F03">
      <w:pPr>
        <w:jc w:val="center"/>
        <w:rPr>
          <w:b/>
          <w:sz w:val="27"/>
        </w:rPr>
      </w:pPr>
      <w:r w:rsidRPr="007A16FA">
        <w:rPr>
          <w:b/>
          <w:sz w:val="27"/>
        </w:rPr>
        <w:t>РЕШЕНИЕ</w:t>
      </w:r>
    </w:p>
    <w:p w:rsidR="009B5002" w:rsidRDefault="009B5002" w:rsidP="00740F0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5002" w:rsidRPr="00F10B32" w:rsidRDefault="009B5002" w:rsidP="00740F0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«29» мая</w:t>
      </w: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10B32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</w:t>
        </w:r>
        <w:r>
          <w:rPr>
            <w:rFonts w:ascii="Times New Roman" w:hAnsi="Times New Roman" w:cs="Times New Roman"/>
            <w:b w:val="0"/>
            <w:bCs w:val="0"/>
            <w:sz w:val="24"/>
            <w:szCs w:val="24"/>
          </w:rPr>
          <w:t>8 г</w:t>
        </w:r>
      </w:smartTag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10B32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312D9">
        <w:rPr>
          <w:rFonts w:ascii="Times New Roman" w:hAnsi="Times New Roman" w:cs="Times New Roman"/>
          <w:b w:val="0"/>
          <w:bCs w:val="0"/>
          <w:sz w:val="24"/>
          <w:szCs w:val="24"/>
        </w:rPr>
        <w:t>132</w:t>
      </w:r>
    </w:p>
    <w:p w:rsidR="009B5002" w:rsidRPr="00F10B32" w:rsidRDefault="009B5002" w:rsidP="00740F03">
      <w:pPr>
        <w:jc w:val="center"/>
        <w:rPr>
          <w:b/>
          <w:noProof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9B5002" w:rsidRPr="005B5BA0" w:rsidTr="005827F3">
        <w:trPr>
          <w:trHeight w:val="133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B5002" w:rsidRPr="00C03590" w:rsidRDefault="009B5002" w:rsidP="007156AA">
            <w:pPr>
              <w:pStyle w:val="a4"/>
              <w:ind w:right="32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Совета депутатов городского поселения город Чухлома Чухломского муниципального района Костромской области от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23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октября 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7 </w:t>
            </w:r>
            <w:r w:rsidRPr="00B12960">
              <w:rPr>
                <w:rFonts w:ascii="Times New Roman" w:hAnsi="Times New Roman" w:cs="Times New Roman"/>
                <w:b w:val="0"/>
                <w:sz w:val="24"/>
              </w:rPr>
              <w:t xml:space="preserve">года №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80</w:t>
            </w:r>
          </w:p>
        </w:tc>
      </w:tr>
    </w:tbl>
    <w:p w:rsidR="009B5002" w:rsidRDefault="009B5002" w:rsidP="00740F03">
      <w:pPr>
        <w:ind w:firstLine="567"/>
      </w:pPr>
      <w:r w:rsidRPr="007158DB">
        <w:t xml:space="preserve">В целях приведения в соответствие </w:t>
      </w:r>
      <w:r>
        <w:t>с 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Минстроя России от 13.04.2017 №711/</w:t>
      </w:r>
      <w:proofErr w:type="spellStart"/>
      <w:r>
        <w:t>пр</w:t>
      </w:r>
      <w:proofErr w:type="spellEnd"/>
      <w:r>
        <w:t xml:space="preserve">, </w:t>
      </w:r>
      <w:r w:rsidRPr="008B7752">
        <w:t>руководствуясь Устав</w:t>
      </w:r>
      <w:r>
        <w:t>ом</w:t>
      </w:r>
      <w:r w:rsidRPr="008B7752">
        <w:t xml:space="preserve"> муниципального образования</w:t>
      </w:r>
      <w:r>
        <w:t xml:space="preserve"> городское поселение город Чухлома </w:t>
      </w:r>
      <w:r w:rsidRPr="007158DB">
        <w:t>Чухломского муниципаль</w:t>
      </w:r>
      <w:r>
        <w:t>ного района Костромской области</w:t>
      </w:r>
      <w:r w:rsidRPr="00326753">
        <w:t>,</w:t>
      </w:r>
      <w:r>
        <w:t xml:space="preserve"> Совет</w:t>
      </w:r>
      <w:r w:rsidRPr="00326753">
        <w:t xml:space="preserve"> депутатов </w:t>
      </w:r>
      <w:r w:rsidRPr="007156AA">
        <w:rPr>
          <w:b/>
        </w:rPr>
        <w:t>РЕШИЛ:</w:t>
      </w:r>
    </w:p>
    <w:p w:rsidR="009B5002" w:rsidRPr="00CF071A" w:rsidRDefault="009B5002" w:rsidP="00740F03">
      <w:pPr>
        <w:pStyle w:val="ConsPlusNormal"/>
        <w:ind w:firstLine="709"/>
        <w:jc w:val="both"/>
        <w:rPr>
          <w:bCs/>
          <w:szCs w:val="24"/>
        </w:rPr>
      </w:pPr>
      <w:r>
        <w:t>1.</w:t>
      </w:r>
      <w:r w:rsidRPr="00327047">
        <w:rPr>
          <w:szCs w:val="24"/>
        </w:rPr>
        <w:t xml:space="preserve"> </w:t>
      </w:r>
      <w:r>
        <w:rPr>
          <w:szCs w:val="24"/>
        </w:rPr>
        <w:t>Внести в решение Совета депутатов городского поселения город Чухлома Чухломского муниципального района Костромской области от</w:t>
      </w:r>
      <w:r w:rsidRPr="00423F8B">
        <w:rPr>
          <w:szCs w:val="24"/>
        </w:rPr>
        <w:t xml:space="preserve"> </w:t>
      </w:r>
      <w:r>
        <w:t>23 октября</w:t>
      </w:r>
      <w:r w:rsidRPr="00423F8B">
        <w:t xml:space="preserve"> 201</w:t>
      </w:r>
      <w:r>
        <w:t>7</w:t>
      </w:r>
      <w:r w:rsidRPr="00423F8B">
        <w:t xml:space="preserve"> года № </w:t>
      </w:r>
      <w:r>
        <w:t>80</w:t>
      </w:r>
      <w:r>
        <w:rPr>
          <w:szCs w:val="24"/>
        </w:rPr>
        <w:t xml:space="preserve"> «</w:t>
      </w:r>
      <w:r w:rsidRPr="00B5307E">
        <w:rPr>
          <w:szCs w:val="24"/>
        </w:rPr>
        <w:t>О</w:t>
      </w:r>
      <w:r>
        <w:rPr>
          <w:szCs w:val="24"/>
        </w:rPr>
        <w:t xml:space="preserve"> Правилах благоустройства и санитарного содержания территории муниципального образования городское поселение город Чухлома Чухломского муниципального района Костромской области» следующие изменения</w:t>
      </w:r>
      <w:r w:rsidRPr="00CF071A">
        <w:rPr>
          <w:szCs w:val="24"/>
        </w:rPr>
        <w:t>:</w:t>
      </w:r>
    </w:p>
    <w:p w:rsidR="009B5002" w:rsidRDefault="009B5002" w:rsidP="00740F03">
      <w:pPr>
        <w:pStyle w:val="ConsPlusNormal"/>
        <w:ind w:firstLine="709"/>
        <w:jc w:val="both"/>
        <w:rPr>
          <w:szCs w:val="24"/>
        </w:rPr>
      </w:pPr>
      <w:r w:rsidRPr="00240796">
        <w:rPr>
          <w:szCs w:val="24"/>
        </w:rPr>
        <w:t xml:space="preserve">1.1. </w:t>
      </w:r>
      <w:bookmarkStart w:id="1" w:name="sub_4"/>
      <w:r>
        <w:rPr>
          <w:szCs w:val="24"/>
        </w:rPr>
        <w:t>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дополнить статьей 4.1 следующего содержания:</w:t>
      </w:r>
    </w:p>
    <w:p w:rsidR="009B5002" w:rsidRPr="00F567D2" w:rsidRDefault="009B5002" w:rsidP="00740F0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567D2">
        <w:rPr>
          <w:b/>
          <w:bCs/>
          <w:color w:val="222222"/>
        </w:rPr>
        <w:t>«</w:t>
      </w:r>
      <w:r w:rsidRPr="00F567D2">
        <w:rPr>
          <w:b/>
        </w:rPr>
        <w:t>4.1</w:t>
      </w:r>
      <w:r w:rsidRPr="00F567D2">
        <w:t xml:space="preserve"> </w:t>
      </w:r>
      <w:r w:rsidRPr="00F567D2">
        <w:rPr>
          <w:b/>
          <w:bCs/>
          <w:color w:val="222222"/>
        </w:rPr>
        <w:t>Формы и механизмы общественного участия в принятии</w:t>
      </w:r>
    </w:p>
    <w:p w:rsidR="009B5002" w:rsidRPr="00F567D2" w:rsidRDefault="009B5002" w:rsidP="00740F0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567D2">
        <w:rPr>
          <w:b/>
          <w:bCs/>
          <w:color w:val="222222"/>
        </w:rPr>
        <w:t>решений и реализации проектов комплексного благоустройства</w:t>
      </w:r>
    </w:p>
    <w:p w:rsidR="009B5002" w:rsidRPr="00F567D2" w:rsidRDefault="009B5002" w:rsidP="00740F0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567D2">
        <w:rPr>
          <w:b/>
          <w:bCs/>
          <w:color w:val="222222"/>
        </w:rPr>
        <w:t>и развития городской среды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1. Задачи, эффективность и формы общественного участия.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 xml:space="preserve">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</w:t>
      </w:r>
      <w:r w:rsidRPr="00F567D2">
        <w:rPr>
          <w:color w:val="222222"/>
        </w:rPr>
        <w:lastRenderedPageBreak/>
        <w:t>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</w:t>
      </w:r>
      <w:r w:rsidRPr="00F567D2">
        <w:rPr>
          <w:color w:val="222222"/>
        </w:rPr>
        <w:t>.2. Основные решения.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б) разработка внутренних правил, регулирующих процесс общественного участия;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</w:t>
      </w:r>
      <w:r w:rsidRPr="00F567D2">
        <w:rPr>
          <w:color w:val="222222"/>
        </w:rPr>
        <w:t>.2.1. 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</w:t>
      </w:r>
      <w:r w:rsidRPr="00F567D2">
        <w:rPr>
          <w:color w:val="222222"/>
        </w:rPr>
        <w:t>.2.2.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2.3. 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2.5. 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3. Формы общественного участия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3.1.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lastRenderedPageBreak/>
        <w:t>а) совместное определение целей и задач по развитию территории, инвентаризация проблем и потенциалов среды;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г) консультации в выборе типов покрытий, с учетом функционального зонирования территории;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д) консультации по предполагаемым типам озеленения;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е) консультации по предполагаемым типам освещения и осветительного оборудования;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3.2.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3.3. Информирование может осуществляться путем: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 xml:space="preserve">а) создания единого информационного </w:t>
      </w:r>
      <w:proofErr w:type="spellStart"/>
      <w:r w:rsidRPr="00F567D2">
        <w:rPr>
          <w:color w:val="222222"/>
        </w:rPr>
        <w:t>интернет-ресурса</w:t>
      </w:r>
      <w:proofErr w:type="spellEnd"/>
      <w:r w:rsidRPr="00F567D2">
        <w:rPr>
          <w:color w:val="222222"/>
        </w:rPr>
        <w:t xml:space="preserve">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lastRenderedPageBreak/>
        <w:t>д) индивидуальных приглашений участников встречи лично, по электронной почте или по телефону;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 xml:space="preserve">ж) использование социальных сетей и </w:t>
      </w:r>
      <w:proofErr w:type="spellStart"/>
      <w:r w:rsidRPr="00F567D2">
        <w:rPr>
          <w:color w:val="222222"/>
        </w:rPr>
        <w:t>интернет-ресурсов</w:t>
      </w:r>
      <w:proofErr w:type="spellEnd"/>
      <w:r w:rsidRPr="00F567D2">
        <w:rPr>
          <w:color w:val="222222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4. Механизмы общественного участия.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 xml:space="preserve">4.1.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</w:t>
      </w:r>
      <w:r w:rsidRPr="00F567D2">
        <w:t>N </w:t>
      </w:r>
      <w:hyperlink r:id="rId6" w:history="1">
        <w:r w:rsidRPr="00F567D2">
          <w:rPr>
            <w:rStyle w:val="a7"/>
            <w:bdr w:val="none" w:sz="0" w:space="0" w:color="auto" w:frame="1"/>
          </w:rPr>
          <w:t>212-ФЗ</w:t>
        </w:r>
      </w:hyperlink>
      <w:r w:rsidRPr="00F567D2">
        <w:rPr>
          <w:color w:val="222222"/>
        </w:rPr>
        <w:t> "Об основах общественного контроля в Российской Федерации".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4.2.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F567D2">
        <w:rPr>
          <w:color w:val="222222"/>
        </w:rPr>
        <w:t>воркшопов</w:t>
      </w:r>
      <w:proofErr w:type="spellEnd"/>
      <w:r w:rsidRPr="00F567D2">
        <w:rPr>
          <w:color w:val="222222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4.3.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4.4.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 xml:space="preserve">4.5. По итогам встреч, проектных семинаров, </w:t>
      </w:r>
      <w:proofErr w:type="spellStart"/>
      <w:r w:rsidRPr="00F567D2">
        <w:rPr>
          <w:color w:val="222222"/>
        </w:rPr>
        <w:t>воркшопов</w:t>
      </w:r>
      <w:proofErr w:type="spellEnd"/>
      <w:r w:rsidRPr="00F567D2">
        <w:rPr>
          <w:color w:val="222222"/>
        </w:rPr>
        <w:t>, дизайн-игр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 xml:space="preserve">4.6.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F567D2">
        <w:rPr>
          <w:color w:val="222222"/>
        </w:rPr>
        <w:t>предпроектного</w:t>
      </w:r>
      <w:proofErr w:type="spellEnd"/>
      <w:r w:rsidRPr="00F567D2">
        <w:rPr>
          <w:color w:val="222222"/>
        </w:rPr>
        <w:t xml:space="preserve"> исследования, а также сам проект.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4.7. Общественный контроль является одним из механизмов общественного участия.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4.8.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 xml:space="preserve">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F567D2">
        <w:rPr>
          <w:color w:val="222222"/>
        </w:rPr>
        <w:t>видеофиксации</w:t>
      </w:r>
      <w:proofErr w:type="spellEnd"/>
      <w:r w:rsidRPr="00F567D2">
        <w:rPr>
          <w:color w:val="222222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Pr="00F567D2">
        <w:rPr>
          <w:color w:val="222222"/>
        </w:rPr>
        <w:lastRenderedPageBreak/>
        <w:t>уполномоченный орган исполнительной власти города и (или) на интерактивный портал в сети Интернет.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4.10.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5.1.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а) в создании и предоставлении разного рода услуг и сервисов для посетителей общественных пространств;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в) в строительстве, реконструкции, реставрации объектов недвижимости;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г) в производстве или размещении элементов благоустройства;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rPr>
          <w:color w:val="222222"/>
        </w:rPr>
        <w:t>з) в иных формах.</w:t>
      </w:r>
    </w:p>
    <w:p w:rsidR="009B5002" w:rsidRPr="00F567D2" w:rsidRDefault="009B5002" w:rsidP="00740F0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</w:t>
      </w:r>
      <w:r w:rsidRPr="00F567D2">
        <w:rPr>
          <w:color w:val="222222"/>
        </w:rPr>
        <w:t>5.3.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B5002" w:rsidRPr="0067062A" w:rsidRDefault="009B5002" w:rsidP="0067062A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567D2">
        <w:t>4.1.5.4.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  <w:r>
        <w:t>»</w:t>
      </w:r>
    </w:p>
    <w:p w:rsidR="009B5002" w:rsidRPr="00C43260" w:rsidRDefault="009B5002" w:rsidP="00C43260">
      <w:pPr>
        <w:pStyle w:val="ConsPlusNormal"/>
        <w:jc w:val="both"/>
        <w:rPr>
          <w:shd w:val="clear" w:color="auto" w:fill="FFFFFF"/>
        </w:rPr>
      </w:pPr>
      <w:r w:rsidRPr="00240796">
        <w:t>2.</w:t>
      </w:r>
      <w:bookmarkEnd w:id="1"/>
      <w:r w:rsidRPr="00240796">
        <w:t xml:space="preserve"> </w:t>
      </w:r>
      <w:r w:rsidRPr="00C43260">
        <w:rPr>
          <w:shd w:val="clear" w:color="auto" w:fill="FFFFFF"/>
        </w:rPr>
        <w:t>Настоящее</w:t>
      </w:r>
      <w:r>
        <w:rPr>
          <w:rStyle w:val="apple-converted-space"/>
          <w:szCs w:val="24"/>
          <w:shd w:val="clear" w:color="auto" w:fill="FFFFFF"/>
        </w:rPr>
        <w:t xml:space="preserve"> решение </w:t>
      </w:r>
      <w:r w:rsidRPr="00C43260">
        <w:rPr>
          <w:szCs w:val="24"/>
          <w:shd w:val="clear" w:color="auto" w:fill="FFFFFF"/>
        </w:rPr>
        <w:t xml:space="preserve">вступает в силу </w:t>
      </w:r>
      <w:r w:rsidRPr="00C43260">
        <w:t>со дня его официального опубликования</w:t>
      </w:r>
      <w: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5002" w:rsidRPr="000E639C" w:rsidTr="0067062A">
        <w:trPr>
          <w:trHeight w:val="1794"/>
        </w:trPr>
        <w:tc>
          <w:tcPr>
            <w:tcW w:w="4785" w:type="dxa"/>
          </w:tcPr>
          <w:p w:rsidR="009B5002" w:rsidRDefault="009B5002" w:rsidP="005827F3">
            <w:pPr>
              <w:ind w:right="429"/>
            </w:pPr>
          </w:p>
          <w:p w:rsidR="009B5002" w:rsidRPr="000E639C" w:rsidRDefault="009B5002" w:rsidP="005827F3">
            <w:pPr>
              <w:ind w:right="429"/>
            </w:pPr>
            <w:r w:rsidRPr="000E639C"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9B5002" w:rsidRPr="000E639C" w:rsidRDefault="009B5002" w:rsidP="005827F3">
            <w:pPr>
              <w:ind w:right="429"/>
            </w:pPr>
            <w:r w:rsidRPr="000E639C">
              <w:t>________________ И.А. Беркутов</w:t>
            </w:r>
          </w:p>
        </w:tc>
        <w:tc>
          <w:tcPr>
            <w:tcW w:w="4786" w:type="dxa"/>
          </w:tcPr>
          <w:p w:rsidR="009B5002" w:rsidRDefault="009B5002" w:rsidP="0067062A"/>
          <w:p w:rsidR="009B5002" w:rsidRPr="000E639C" w:rsidRDefault="009B5002" w:rsidP="005827F3">
            <w:pPr>
              <w:ind w:left="435"/>
            </w:pPr>
            <w:r w:rsidRPr="000E639C">
              <w:t>Глава городского поселения город Чухлома Чухломского муниципального района Костромской области</w:t>
            </w:r>
          </w:p>
          <w:p w:rsidR="009B5002" w:rsidRDefault="009B5002" w:rsidP="005827F3">
            <w:pPr>
              <w:ind w:left="435"/>
            </w:pPr>
          </w:p>
          <w:p w:rsidR="009B5002" w:rsidRPr="000E639C" w:rsidRDefault="009B5002" w:rsidP="005827F3">
            <w:pPr>
              <w:ind w:left="435"/>
            </w:pPr>
            <w:r w:rsidRPr="000E639C">
              <w:t xml:space="preserve">________________ М.И. Гусева </w:t>
            </w:r>
          </w:p>
        </w:tc>
      </w:tr>
    </w:tbl>
    <w:p w:rsidR="009B5002" w:rsidRDefault="009B5002" w:rsidP="00C43260">
      <w:r>
        <w:t>Принято Советом депутатов</w:t>
      </w:r>
    </w:p>
    <w:p w:rsidR="009B5002" w:rsidRDefault="009B5002" w:rsidP="00C43260">
      <w:r>
        <w:t>«</w:t>
      </w:r>
      <w:r w:rsidR="006A678D">
        <w:t>29</w:t>
      </w:r>
      <w:r>
        <w:t>» мая 2018 года</w:t>
      </w:r>
    </w:p>
    <w:p w:rsidR="009B5002" w:rsidRDefault="009B5002"/>
    <w:sectPr w:rsidR="009B5002" w:rsidSect="0068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D54"/>
    <w:multiLevelType w:val="hybridMultilevel"/>
    <w:tmpl w:val="FA24FC00"/>
    <w:lvl w:ilvl="0" w:tplc="3B408E4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B"/>
    <w:rsid w:val="00017B2B"/>
    <w:rsid w:val="000E639C"/>
    <w:rsid w:val="000F3E32"/>
    <w:rsid w:val="0023324F"/>
    <w:rsid w:val="00240796"/>
    <w:rsid w:val="00326753"/>
    <w:rsid w:val="00327047"/>
    <w:rsid w:val="00423F8B"/>
    <w:rsid w:val="00443B4F"/>
    <w:rsid w:val="005827F3"/>
    <w:rsid w:val="005B24E8"/>
    <w:rsid w:val="005B5BA0"/>
    <w:rsid w:val="006312D9"/>
    <w:rsid w:val="0067062A"/>
    <w:rsid w:val="0068069F"/>
    <w:rsid w:val="006A678D"/>
    <w:rsid w:val="007156AA"/>
    <w:rsid w:val="007158DB"/>
    <w:rsid w:val="00740F03"/>
    <w:rsid w:val="007A16FA"/>
    <w:rsid w:val="008B7752"/>
    <w:rsid w:val="009A7CFC"/>
    <w:rsid w:val="009B5002"/>
    <w:rsid w:val="00B12960"/>
    <w:rsid w:val="00B5307E"/>
    <w:rsid w:val="00C03590"/>
    <w:rsid w:val="00C43260"/>
    <w:rsid w:val="00CE3926"/>
    <w:rsid w:val="00CF071A"/>
    <w:rsid w:val="00DF305B"/>
    <w:rsid w:val="00E01455"/>
    <w:rsid w:val="00E32FE7"/>
    <w:rsid w:val="00EE7A2D"/>
    <w:rsid w:val="00F10B32"/>
    <w:rsid w:val="00F567D2"/>
    <w:rsid w:val="00F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F03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17B2B"/>
    <w:pPr>
      <w:ind w:left="720"/>
      <w:contextualSpacing/>
    </w:pPr>
  </w:style>
  <w:style w:type="paragraph" w:customStyle="1" w:styleId="ConsTitle">
    <w:name w:val="ConsTitle"/>
    <w:uiPriority w:val="99"/>
    <w:rsid w:val="00740F0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link w:val="a5"/>
    <w:uiPriority w:val="99"/>
    <w:qFormat/>
    <w:rsid w:val="00740F03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740F03"/>
    <w:rPr>
      <w:rFonts w:ascii="Arial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740F0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6">
    <w:name w:val="Emphasis"/>
    <w:basedOn w:val="a0"/>
    <w:uiPriority w:val="99"/>
    <w:qFormat/>
    <w:rsid w:val="00740F0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40F03"/>
    <w:rPr>
      <w:rFonts w:cs="Times New Roman"/>
    </w:rPr>
  </w:style>
  <w:style w:type="paragraph" w:customStyle="1" w:styleId="pc">
    <w:name w:val="pc"/>
    <w:basedOn w:val="a"/>
    <w:uiPriority w:val="99"/>
    <w:rsid w:val="00740F03"/>
    <w:pPr>
      <w:spacing w:before="100" w:beforeAutospacing="1" w:after="100" w:afterAutospacing="1"/>
    </w:pPr>
  </w:style>
  <w:style w:type="paragraph" w:customStyle="1" w:styleId="pj">
    <w:name w:val="pj"/>
    <w:basedOn w:val="a"/>
    <w:uiPriority w:val="99"/>
    <w:rsid w:val="00740F0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740F0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A7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7CF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F03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17B2B"/>
    <w:pPr>
      <w:ind w:left="720"/>
      <w:contextualSpacing/>
    </w:pPr>
  </w:style>
  <w:style w:type="paragraph" w:customStyle="1" w:styleId="ConsTitle">
    <w:name w:val="ConsTitle"/>
    <w:uiPriority w:val="99"/>
    <w:rsid w:val="00740F0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basedOn w:val="a"/>
    <w:link w:val="a5"/>
    <w:uiPriority w:val="99"/>
    <w:qFormat/>
    <w:rsid w:val="00740F03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740F03"/>
    <w:rPr>
      <w:rFonts w:ascii="Arial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740F0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6">
    <w:name w:val="Emphasis"/>
    <w:basedOn w:val="a0"/>
    <w:uiPriority w:val="99"/>
    <w:qFormat/>
    <w:rsid w:val="00740F0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40F03"/>
    <w:rPr>
      <w:rFonts w:cs="Times New Roman"/>
    </w:rPr>
  </w:style>
  <w:style w:type="paragraph" w:customStyle="1" w:styleId="pc">
    <w:name w:val="pc"/>
    <w:basedOn w:val="a"/>
    <w:uiPriority w:val="99"/>
    <w:rsid w:val="00740F03"/>
    <w:pPr>
      <w:spacing w:before="100" w:beforeAutospacing="1" w:after="100" w:afterAutospacing="1"/>
    </w:pPr>
  </w:style>
  <w:style w:type="paragraph" w:customStyle="1" w:styleId="pj">
    <w:name w:val="pj"/>
    <w:basedOn w:val="a"/>
    <w:uiPriority w:val="99"/>
    <w:rsid w:val="00740F03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740F0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A7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7C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21.07.2014-N-212-F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1926</Words>
  <Characters>14748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cp:lastPrinted>2018-05-30T12:32:00Z</cp:lastPrinted>
  <dcterms:created xsi:type="dcterms:W3CDTF">2018-05-31T11:41:00Z</dcterms:created>
  <dcterms:modified xsi:type="dcterms:W3CDTF">2018-05-31T11:41:00Z</dcterms:modified>
</cp:coreProperties>
</file>